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C6CC" w14:textId="77777777" w:rsidR="006D1DC4" w:rsidRDefault="006D1DC4" w:rsidP="006D1DC4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0AC66318" w14:textId="77777777" w:rsidR="006D1DC4" w:rsidRDefault="006D1DC4" w:rsidP="006D1DC4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77D4412B" w14:textId="77777777" w:rsidR="006D1DC4" w:rsidRDefault="006D1DC4" w:rsidP="006D1DC4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24D50A54" w14:textId="77777777" w:rsidR="006D1DC4" w:rsidRDefault="006D1DC4" w:rsidP="006D1DC4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1BFA0E29" w14:textId="77777777" w:rsidR="006D1DC4" w:rsidRDefault="006D1DC4" w:rsidP="006D1DC4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ZAMAWIAJĄCEGO</w:t>
      </w:r>
    </w:p>
    <w:p w14:paraId="62FE05F9" w14:textId="77777777" w:rsidR="006D1DC4" w:rsidRDefault="006D1DC4" w:rsidP="006D1DC4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4637FB72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6CB62405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ul. 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Staroprzygodzka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117</w:t>
      </w:r>
    </w:p>
    <w:p w14:paraId="2290CB54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27D52491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6E89A5B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14765A12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6D1DC4" w14:paraId="5DD3FDB9" w14:textId="77777777" w:rsidTr="00565D87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B6A232F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D46FDB" w14:textId="77777777" w:rsidR="006D1DC4" w:rsidRDefault="006D1DC4" w:rsidP="00565D8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6D1DC4" w14:paraId="227411C5" w14:textId="77777777" w:rsidTr="00565D8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8B981E4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B8DFF1" w14:textId="77777777" w:rsidR="006D1DC4" w:rsidRDefault="006D1DC4" w:rsidP="00565D8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6D1DC4" w14:paraId="21C368B6" w14:textId="77777777" w:rsidTr="00565D8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9DA77B9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2FE726" w14:textId="77777777" w:rsidR="006D1DC4" w:rsidRDefault="006D1DC4" w:rsidP="00565D8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6D1DC4" w14:paraId="543C2F1B" w14:textId="77777777" w:rsidTr="00565D8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094C1AB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D695C3" w14:textId="77777777" w:rsidR="006D1DC4" w:rsidRDefault="006D1DC4" w:rsidP="00565D8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6D1DC4" w14:paraId="7AF511A0" w14:textId="77777777" w:rsidTr="00565D8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3E813C6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4B5B2A" w14:textId="77777777" w:rsidR="006D1DC4" w:rsidRDefault="006D1DC4" w:rsidP="00565D87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26B2303F" w14:textId="77777777" w:rsidR="006D1DC4" w:rsidRDefault="006D1DC4" w:rsidP="006D1DC4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CF1A3F3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7D2B6A8E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Ofertę składamy w odpowiedzi na zapytanie ofertowe nr </w:t>
      </w:r>
      <w:bookmarkStart w:id="1" w:name="_Hlk183702440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22/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LSz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/2024 </w:t>
      </w:r>
      <w:bookmarkEnd w:id="1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na dostawę kauczuków oraz mieszanki FKM.</w:t>
      </w:r>
    </w:p>
    <w:p w14:paraId="05A3BC28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1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1)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6D1DC4" w14:paraId="5D676368" w14:textId="77777777" w:rsidTr="00565D8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5F3AA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11B63F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896188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6F85A7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6D1DC4" w14:paraId="2747296B" w14:textId="77777777" w:rsidTr="00565D8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5D83D7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kauczuk chloroprenowy S-40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97C0FF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500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D3D413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7BA3C9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700CA7B7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08AFA03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lastRenderedPageBreak/>
        <w:t xml:space="preserve">Oferujemy realizację zamówienia w zakresie części nr 2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2)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6D1DC4" w14:paraId="03E8BE71" w14:textId="77777777" w:rsidTr="00565D8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A61988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2E6B72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DCC39E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04937A7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6D1DC4" w14:paraId="6FF26B4C" w14:textId="77777777" w:rsidTr="00565D8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DE9995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kauczuk CSM 40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B69E85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200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EC04AE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7C7DCA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420B364D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32EECD5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3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3)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6D1DC4" w14:paraId="5F029EA8" w14:textId="77777777" w:rsidTr="00565D8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407E71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3FB7CE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7B0BF8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586CA10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6D1DC4" w14:paraId="2E5E2EF3" w14:textId="77777777" w:rsidTr="00565D8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8D7185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kauczuk chloroprenowy A-90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8B0AB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100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E5031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471785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6E3BE6DB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B1463D0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4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4)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6D1DC4" w14:paraId="7B48C4D8" w14:textId="77777777" w:rsidTr="00565D8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45C69B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E0E9F3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7BC740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997B006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6D1DC4" w14:paraId="6862FD70" w14:textId="77777777" w:rsidTr="00565D8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B49D89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 w:rsidRPr="00530097">
              <w:rPr>
                <w:rFonts w:asciiTheme="minorHAnsi" w:eastAsia="Arial" w:hAnsiTheme="minorHAnsi" w:cs="Arial"/>
                <w:color w:val="auto"/>
                <w:lang w:val="pl-PL" w:eastAsia="zh-CN"/>
              </w:rPr>
              <w:t xml:space="preserve">kauczuk </w:t>
            </w:r>
            <w:proofErr w:type="spellStart"/>
            <w:r w:rsidRPr="00530097">
              <w:rPr>
                <w:rFonts w:asciiTheme="minorHAnsi" w:eastAsia="Arial" w:hAnsiTheme="minorHAnsi" w:cs="Arial"/>
                <w:color w:val="auto"/>
                <w:lang w:val="pl-PL" w:eastAsia="zh-CN"/>
              </w:rPr>
              <w:t>bromobutyl</w:t>
            </w:r>
            <w:proofErr w:type="spellEnd"/>
            <w:r w:rsidRPr="00530097">
              <w:rPr>
                <w:rFonts w:asciiTheme="minorHAnsi" w:eastAsia="Arial" w:hAnsiTheme="minorHAnsi" w:cs="Arial"/>
                <w:color w:val="auto"/>
                <w:lang w:val="pl-PL" w:eastAsia="zh-CN"/>
              </w:rPr>
              <w:t xml:space="preserve"> 2211</w:t>
            </w:r>
            <w:r>
              <w:rPr>
                <w:rFonts w:asciiTheme="minorHAnsi" w:eastAsia="Arial" w:hAnsiTheme="minorHAnsi" w:cs="Arial"/>
                <w:color w:val="auto"/>
                <w:lang w:val="pl-PL" w:eastAsia="zh-CN"/>
              </w:rPr>
              <w:br/>
            </w:r>
            <w:r w:rsidRPr="00530097">
              <w:rPr>
                <w:rFonts w:asciiTheme="minorHAnsi" w:eastAsia="Arial" w:hAnsiTheme="minorHAnsi" w:cs="Arial"/>
                <w:color w:val="auto"/>
                <w:lang w:val="pl-PL" w:eastAsia="zh-CN"/>
              </w:rPr>
              <w:t>lub 2222</w:t>
            </w:r>
            <w:r>
              <w:rPr>
                <w:rFonts w:asciiTheme="minorHAnsi" w:eastAsia="Arial" w:hAnsiTheme="minorHAnsi" w:cs="Arial"/>
                <w:color w:val="auto"/>
                <w:lang w:val="pl-PL" w:eastAsia="zh-CN"/>
              </w:rPr>
              <w:t>,</w:t>
            </w:r>
            <w:r w:rsidRPr="00530097">
              <w:rPr>
                <w:rFonts w:asciiTheme="minorHAnsi" w:eastAsia="Arial" w:hAnsiTheme="minorHAnsi" w:cs="Arial"/>
                <w:color w:val="auto"/>
                <w:lang w:val="pl-PL" w:eastAsia="zh-CN"/>
              </w:rPr>
              <w:t xml:space="preserve"> lub 2030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0C6F67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200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1AAC10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47E683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38A1A753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C9CFBBD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5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5)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6D1DC4" w14:paraId="652CD1BB" w14:textId="77777777" w:rsidTr="00565D8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723A4F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33A877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D2A6CF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6563B46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6D1DC4" w14:paraId="766E4292" w14:textId="77777777" w:rsidTr="00565D8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6E2F5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mieszanka FKM żółta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br/>
              <w:t>2-składnikowa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ED7353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250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6DF1F8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E8A77E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7EFCC4E9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21B11CF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lastRenderedPageBreak/>
        <w:t xml:space="preserve">Oferujemy realizację zamówienia w zakresie części nr 6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6)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6D1DC4" w14:paraId="5CBC3D8C" w14:textId="77777777" w:rsidTr="00565D8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871315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3E127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14473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37BBADC" w14:textId="77777777" w:rsidR="006D1DC4" w:rsidRDefault="006D1DC4" w:rsidP="00565D8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6D1DC4" w14:paraId="26D83A40" w14:textId="77777777" w:rsidTr="00565D8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20378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mieszanka FKM żółta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br/>
              <w:t>1-składnikowa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9BE3BE" w14:textId="77777777" w:rsidR="006D1DC4" w:rsidRDefault="006D1DC4" w:rsidP="00565D8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50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7CBF00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B827B6" w14:textId="77777777" w:rsidR="006D1DC4" w:rsidRDefault="006D1DC4" w:rsidP="00565D8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503F6784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Style w:val="Tabela-Siatk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6D1DC4" w14:paraId="5C917397" w14:textId="77777777" w:rsidTr="00565D87">
        <w:tc>
          <w:tcPr>
            <w:tcW w:w="8788" w:type="dxa"/>
          </w:tcPr>
          <w:p w14:paraId="2B730A9F" w14:textId="77777777" w:rsidR="006D1DC4" w:rsidRDefault="006D1DC4" w:rsidP="00565D87">
            <w:pPr>
              <w:widowControl/>
              <w:spacing w:before="200" w:after="6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Warianty terminu dostawy dla każdej z części:</w:t>
            </w:r>
          </w:p>
          <w:p w14:paraId="776B3D2A" w14:textId="77777777" w:rsidR="006D1DC4" w:rsidRDefault="006D1DC4" w:rsidP="00565D8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A - dostawa całości do 4 tygodni - 30 pkt</w:t>
            </w:r>
          </w:p>
          <w:p w14:paraId="6816786E" w14:textId="77777777" w:rsidR="006D1DC4" w:rsidRDefault="006D1DC4" w:rsidP="00565D8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B - dostawa co najmniej połowy zakresu dostawy do 4 tygodni, dostawa pozostałej części do 6 tygodni - 20 pkt</w:t>
            </w:r>
          </w:p>
          <w:p w14:paraId="4116FDAF" w14:textId="77777777" w:rsidR="006D1DC4" w:rsidRDefault="006D1DC4" w:rsidP="00565D8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C - dostawa całości do 6 tygodni - 10 pkt</w:t>
            </w:r>
          </w:p>
          <w:p w14:paraId="2A0F07BB" w14:textId="77777777" w:rsidR="006D1DC4" w:rsidRDefault="006D1DC4" w:rsidP="00565D8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D - dostawa co najmniej połowy zakresu dostawy do 4 tygodni, dostawa pozostałej części do 8 tygodni - 5 pkt</w:t>
            </w:r>
          </w:p>
          <w:p w14:paraId="1DA84CA7" w14:textId="77777777" w:rsidR="006D1DC4" w:rsidRDefault="006D1DC4" w:rsidP="00565D87">
            <w:pPr>
              <w:widowControl/>
              <w:spacing w:after="20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E - dostawa całości do 8 tygodni - 0 pkt</w:t>
            </w:r>
          </w:p>
        </w:tc>
      </w:tr>
    </w:tbl>
    <w:p w14:paraId="530C484A" w14:textId="77777777" w:rsidR="006D1DC4" w:rsidRDefault="006D1DC4" w:rsidP="006D1DC4">
      <w:pPr>
        <w:widowControl/>
        <w:spacing w:after="200" w:line="276" w:lineRule="auto"/>
        <w:ind w:left="1985" w:hanging="1134"/>
        <w:contextualSpacing/>
        <w:jc w:val="both"/>
        <w:rPr>
          <w:rFonts w:asciiTheme="minorHAnsi" w:eastAsia="Times New Roman" w:hAnsiTheme="minorHAnsi" w:cs="Times New Roman"/>
          <w:i/>
          <w:iCs/>
          <w:sz w:val="22"/>
          <w:szCs w:val="22"/>
          <w:lang w:val="pl-PL" w:eastAsia="zh-CN" w:bidi="hi-IN"/>
        </w:rPr>
      </w:pPr>
    </w:p>
    <w:p w14:paraId="193E0FF5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ofertowym, w szczególności ze wzorem umowy określającym m.in. warunki dostawy, gwarancji oraz kary umowne i uznajemy jego warunki za wiążące.</w:t>
      </w:r>
    </w:p>
    <w:p w14:paraId="7CF6F202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28AF25EC" w14:textId="77777777" w:rsidR="006D1DC4" w:rsidRDefault="006D1DC4" w:rsidP="006D1DC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załączniki do niniejszej oferty składamy:</w:t>
      </w:r>
    </w:p>
    <w:p w14:paraId="624E977D" w14:textId="77777777" w:rsidR="006D1DC4" w:rsidRDefault="006D1DC4" w:rsidP="006D1DC4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</w:p>
    <w:p w14:paraId="7C167E8F" w14:textId="77777777" w:rsidR="006D1DC4" w:rsidRDefault="006D1DC4" w:rsidP="006D1DC4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specyfikacje techniczne zgodnie z pkt VI.4. zapytania ofertowego</w:t>
      </w:r>
    </w:p>
    <w:p w14:paraId="06022039" w14:textId="77777777" w:rsidR="006D1DC4" w:rsidRDefault="006D1DC4" w:rsidP="006D1DC4">
      <w:pPr>
        <w:widowControl/>
        <w:spacing w:after="120" w:line="276" w:lineRule="auto"/>
        <w:ind w:left="107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1A9AF051" w14:textId="77777777" w:rsidR="006D1DC4" w:rsidRDefault="006D1DC4" w:rsidP="006D1DC4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45022373" w14:textId="77777777" w:rsidR="006D1DC4" w:rsidRDefault="006D1DC4" w:rsidP="006D1DC4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E16CC50" w14:textId="77777777" w:rsidR="006D1DC4" w:rsidRDefault="006D1DC4" w:rsidP="006D1DC4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2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4BA91B96" w14:textId="77777777" w:rsidR="006D1DC4" w:rsidRDefault="006D1DC4" w:rsidP="006D1DC4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2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31943384" w14:textId="77777777" w:rsidR="006D1DC4" w:rsidRDefault="006D1DC4" w:rsidP="006D1DC4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1D89299E" w14:textId="77777777" w:rsidR="006D1DC4" w:rsidRDefault="006D1DC4" w:rsidP="006D1DC4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320E63FF" w14:textId="77777777" w:rsidR="006D1DC4" w:rsidRDefault="006D1DC4" w:rsidP="006D1DC4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6D1F000E" w14:textId="77777777" w:rsidR="006D1DC4" w:rsidRDefault="006D1DC4" w:rsidP="006D1DC4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595211CB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3C818A90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Dotyczy zapytania ofertowego nr </w:t>
      </w:r>
      <w:r w:rsidRPr="008D1837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22/</w:t>
      </w:r>
      <w:proofErr w:type="spellStart"/>
      <w:r w:rsidRPr="008D1837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LSz</w:t>
      </w:r>
      <w:proofErr w:type="spellEnd"/>
      <w:r w:rsidRPr="008D1837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/2024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na dostawę kauczuków oraz mieszanki FKM</w:t>
      </w:r>
    </w:p>
    <w:p w14:paraId="50AD8CC7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2CFE9FA9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F3FE96A" w14:textId="77777777" w:rsidR="006D1DC4" w:rsidRDefault="006D1DC4" w:rsidP="006D1DC4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11EA6B3E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6D1DC4" w14:paraId="6783051A" w14:textId="77777777" w:rsidTr="00565D87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920D3EE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6F4A52" w14:textId="77777777" w:rsidR="006D1DC4" w:rsidRDefault="006D1DC4" w:rsidP="00565D8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6D1DC4" w14:paraId="50BEEE53" w14:textId="77777777" w:rsidTr="00565D87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867A411" w14:textId="77777777" w:rsidR="006D1DC4" w:rsidRDefault="006D1DC4" w:rsidP="00565D8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0DF00D" w14:textId="77777777" w:rsidR="006D1DC4" w:rsidRDefault="006D1DC4" w:rsidP="00565D8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47C9CA8E" w14:textId="77777777" w:rsidR="006D1DC4" w:rsidRDefault="006D1DC4" w:rsidP="006D1DC4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36C92B6" w14:textId="77777777" w:rsidR="006D1DC4" w:rsidRDefault="006D1DC4" w:rsidP="006D1DC4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174523E4" w14:textId="77777777" w:rsidR="006D1DC4" w:rsidRDefault="006D1DC4" w:rsidP="006D1DC4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527E9826" w14:textId="77777777" w:rsidR="006D1DC4" w:rsidRDefault="006D1DC4" w:rsidP="006D1DC4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5D9FDE18" w14:textId="77777777" w:rsidR="006D1DC4" w:rsidRDefault="006D1DC4" w:rsidP="006D1DC4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591814F6" w14:textId="77777777" w:rsidR="006D1DC4" w:rsidRDefault="006D1DC4" w:rsidP="006D1DC4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0BE8FDD5" w14:textId="77777777" w:rsidR="006D1DC4" w:rsidRDefault="006D1DC4" w:rsidP="006D1DC4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045E8D67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3A6364A9" w14:textId="77777777" w:rsidR="006D1DC4" w:rsidRDefault="006D1DC4" w:rsidP="006D1DC4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121982BC" w14:textId="77777777" w:rsidR="006D1DC4" w:rsidRDefault="006D1DC4" w:rsidP="006D1DC4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77B929E1" w14:textId="77777777" w:rsidR="006D1DC4" w:rsidRDefault="006D1DC4" w:rsidP="006D1DC4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158896CD" w14:textId="77777777" w:rsidR="006D1DC4" w:rsidRDefault="006D1DC4" w:rsidP="006D1DC4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340DE5E7" w14:textId="77777777" w:rsidR="006D1DC4" w:rsidRDefault="006D1DC4" w:rsidP="006D1DC4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439A7F0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02EC4D93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E68BA66" w14:textId="77777777" w:rsidR="006D1DC4" w:rsidRDefault="006D1DC4" w:rsidP="006D1DC4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52C3A529" w14:textId="77777777" w:rsidR="006D1DC4" w:rsidRDefault="006D1DC4" w:rsidP="006D1DC4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36A3F907" w14:textId="77777777" w:rsidR="006D1DC4" w:rsidRDefault="006D1DC4" w:rsidP="006D1DC4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4B9540EF" w14:textId="77777777" w:rsidR="006D1DC4" w:rsidRDefault="006D1DC4" w:rsidP="006D1DC4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37E8DDED" w14:textId="77777777" w:rsidR="006D1DC4" w:rsidRDefault="006D1DC4" w:rsidP="006D1DC4">
      <w:pPr>
        <w:rPr>
          <w:lang w:val="pl-PL"/>
        </w:rPr>
      </w:pPr>
    </w:p>
    <w:p w14:paraId="3F6D9AD4" w14:textId="77777777" w:rsidR="009F3CBB" w:rsidRPr="006D1DC4" w:rsidRDefault="009F3CBB" w:rsidP="006D1DC4"/>
    <w:sectPr w:rsidR="009F3CBB" w:rsidRPr="006D1DC4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51DC" w14:textId="77777777" w:rsidR="00856E9B" w:rsidRDefault="00856E9B">
      <w:r>
        <w:separator/>
      </w:r>
    </w:p>
  </w:endnote>
  <w:endnote w:type="continuationSeparator" w:id="0">
    <w:p w14:paraId="60685982" w14:textId="77777777" w:rsidR="00856E9B" w:rsidRDefault="0085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7777777" w:rsidR="009F3CBB" w:rsidRDefault="00000000">
        <w:pPr>
          <w:pStyle w:val="Stopka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noProof/>
            <w:sz w:val="22"/>
            <w:lang w:val="pl-PL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7FA" w14:textId="77777777" w:rsidR="00856E9B" w:rsidRDefault="00856E9B">
      <w:r>
        <w:separator/>
      </w:r>
    </w:p>
  </w:footnote>
  <w:footnote w:type="continuationSeparator" w:id="0">
    <w:p w14:paraId="5A16E649" w14:textId="77777777" w:rsidR="00856E9B" w:rsidRDefault="0085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095EBA"/>
    <w:rsid w:val="005C745E"/>
    <w:rsid w:val="006D1DC4"/>
    <w:rsid w:val="00856E9B"/>
    <w:rsid w:val="0090305B"/>
    <w:rsid w:val="009A4FD5"/>
    <w:rsid w:val="009F3CBB"/>
    <w:rsid w:val="00D1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26</cp:revision>
  <cp:lastPrinted>2021-09-21T12:17:00Z</cp:lastPrinted>
  <dcterms:created xsi:type="dcterms:W3CDTF">2021-09-15T08:51:00Z</dcterms:created>
  <dcterms:modified xsi:type="dcterms:W3CDTF">2024-11-28T15:11:00Z</dcterms:modified>
  <cp:contentStatus/>
</cp:coreProperties>
</file>